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9B708B" w:rsidTr="009D2787">
        <w:tc>
          <w:tcPr>
            <w:tcW w:w="9639" w:type="dxa"/>
          </w:tcPr>
          <w:p w:rsidR="006A144F" w:rsidRDefault="009A1605" w:rsidP="005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анализа предложений  № </w:t>
            </w:r>
            <w:r w:rsidR="00557AD1">
              <w:rPr>
                <w:rFonts w:ascii="Times New Roman" w:hAnsi="Times New Roman" w:cs="Times New Roman"/>
                <w:sz w:val="24"/>
                <w:szCs w:val="24"/>
              </w:rPr>
              <w:t>32413156611</w:t>
            </w:r>
          </w:p>
        </w:tc>
      </w:tr>
    </w:tbl>
    <w:p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5C6A5E" w:rsidRDefault="005C6A5E" w:rsidP="00F21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 xml:space="preserve">   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41BCB">
        <w:rPr>
          <w:rFonts w:ascii="Times New Roman" w:hAnsi="Times New Roman" w:cs="Times New Roman"/>
          <w:sz w:val="24"/>
          <w:szCs w:val="24"/>
        </w:rPr>
        <w:t>22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01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</w:t>
      </w:r>
      <w:r w:rsidR="00557AD1">
        <w:rPr>
          <w:rFonts w:ascii="Times New Roman" w:hAnsi="Times New Roman" w:cs="Times New Roman"/>
          <w:sz w:val="24"/>
          <w:szCs w:val="24"/>
        </w:rPr>
        <w:t>4</w:t>
      </w:r>
    </w:p>
    <w:p w:rsidR="005C6A5E" w:rsidRPr="00F217B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65969" w:rsidRDefault="00F6596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0609E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060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0609E1">
      <w:pPr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C3" w:rsidRDefault="0012612A" w:rsidP="000609E1">
      <w:pPr>
        <w:spacing w:after="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(максимальная)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C218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7AD1">
        <w:rPr>
          <w:rFonts w:ascii="Times New Roman" w:eastAsia="Times New Roman" w:hAnsi="Times New Roman" w:cs="Times New Roman"/>
          <w:sz w:val="24"/>
          <w:szCs w:val="24"/>
        </w:rPr>
        <w:t> 750 856,00</w:t>
      </w:r>
      <w:r w:rsidR="009953BA" w:rsidRPr="0099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:rsidR="002F5A29" w:rsidRPr="00823307" w:rsidRDefault="002F5A29" w:rsidP="000609E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F20A1" w:rsidRPr="000F20A1" w:rsidRDefault="00524C94" w:rsidP="000609E1">
      <w:pPr>
        <w:spacing w:after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404A">
        <w:rPr>
          <w:rFonts w:ascii="Times New Roman" w:hAnsi="Times New Roman" w:cs="Times New Roman"/>
          <w:sz w:val="24"/>
          <w:szCs w:val="24"/>
        </w:rPr>
        <w:t xml:space="preserve"> </w:t>
      </w:r>
      <w:r w:rsidR="000F20A1" w:rsidRPr="000F20A1">
        <w:rPr>
          <w:rFonts w:ascii="Times New Roman" w:hAnsi="Times New Roman" w:cs="Times New Roman"/>
          <w:sz w:val="24"/>
          <w:szCs w:val="24"/>
        </w:rPr>
        <w:t>Рассмотрение предложений Участников и подведение итогов анализа предложений</w:t>
      </w:r>
      <w:r w:rsidR="000F20A1" w:rsidRPr="000F20A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207B5" w:rsidRDefault="007207B5" w:rsidP="000609E1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:rsidR="007207B5" w:rsidRDefault="007207B5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:rsidR="007207B5" w:rsidRPr="00C833B3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8D3C56" w:rsidRDefault="008D3C56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404A" w:rsidRDefault="0020404A" w:rsidP="000609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C56" w:rsidRDefault="008D3C56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 w:rsidR="0020404A">
        <w:rPr>
          <w:rFonts w:ascii="Times New Roman" w:hAnsi="Times New Roman" w:cs="Times New Roman"/>
          <w:b/>
          <w:sz w:val="24"/>
          <w:szCs w:val="24"/>
        </w:rPr>
        <w:t>.</w:t>
      </w:r>
    </w:p>
    <w:p w:rsidR="007207B5" w:rsidRPr="00C833B3" w:rsidRDefault="007207B5" w:rsidP="000609E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7207B5" w:rsidRDefault="008D3C56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>Инженер группы закупок ПТО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:rsidR="007207B5" w:rsidRPr="002F7E2D" w:rsidRDefault="007207B5" w:rsidP="000609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8D3C56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0609E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0609E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26B1" w:rsidRDefault="007207B5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20404A">
        <w:rPr>
          <w:rFonts w:ascii="Times New Roman" w:eastAsia="Times New Roman" w:hAnsi="Times New Roman" w:cs="Times New Roman"/>
          <w:sz w:val="24"/>
          <w:szCs w:val="24"/>
        </w:rPr>
        <w:t>18.01.2024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20404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</w:rPr>
        <w:t>1 (одна) заявка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BCB" w:rsidRDefault="00A026B1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доступ для Заказчика к предложению Участника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  <w:r w:rsidR="00F21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3247" w:rsidRDefault="00441BCB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>Информация об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закупки отражена в таблице</w:t>
      </w:r>
      <w:r w:rsidR="00083247" w:rsidRPr="008142D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355"/>
        <w:gridCol w:w="3517"/>
        <w:gridCol w:w="1645"/>
      </w:tblGrid>
      <w:tr w:rsidR="00083247" w:rsidRPr="00083247" w:rsidTr="00F217BE">
        <w:tc>
          <w:tcPr>
            <w:tcW w:w="969" w:type="dxa"/>
          </w:tcPr>
          <w:p w:rsidR="00083247" w:rsidRPr="00083247" w:rsidRDefault="00083247" w:rsidP="00F217B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заявки</w:t>
            </w:r>
          </w:p>
        </w:tc>
        <w:tc>
          <w:tcPr>
            <w:tcW w:w="3355" w:type="dxa"/>
          </w:tcPr>
          <w:p w:rsidR="00083247" w:rsidRPr="00083247" w:rsidRDefault="00083247" w:rsidP="00F217B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517" w:type="dxa"/>
          </w:tcPr>
          <w:p w:rsidR="00083247" w:rsidRPr="00083247" w:rsidRDefault="00083247" w:rsidP="00F217B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45" w:type="dxa"/>
          </w:tcPr>
          <w:p w:rsidR="00083247" w:rsidRPr="00083247" w:rsidRDefault="00083247" w:rsidP="00F217B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</w:tr>
      <w:tr w:rsidR="00083247" w:rsidRPr="00083247" w:rsidTr="00F217BE">
        <w:trPr>
          <w:trHeight w:val="341"/>
        </w:trPr>
        <w:tc>
          <w:tcPr>
            <w:tcW w:w="969" w:type="dxa"/>
          </w:tcPr>
          <w:p w:rsidR="00083247" w:rsidRPr="00681122" w:rsidRDefault="00083247" w:rsidP="000609E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355" w:type="dxa"/>
            <w:tcMar>
              <w:left w:w="57" w:type="dxa"/>
              <w:right w:w="57" w:type="dxa"/>
            </w:tcMar>
          </w:tcPr>
          <w:p w:rsidR="00E9590F" w:rsidRPr="00681122" w:rsidRDefault="00A026B1" w:rsidP="000609E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17.01.2024</w:t>
            </w:r>
            <w:r w:rsidR="00681122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E9590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="00E9590F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59</w:t>
            </w:r>
            <w:r w:rsidR="009953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9953BA">
              <w:rPr>
                <w:rFonts w:ascii="Times New Roman" w:eastAsia="Times New Roman" w:hAnsi="Times New Roman" w:cs="Times New Roman"/>
                <w:sz w:val="23"/>
                <w:szCs w:val="23"/>
              </w:rPr>
              <w:t>Мск</w:t>
            </w:r>
            <w:proofErr w:type="spellEnd"/>
            <w:r w:rsidR="00083247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517" w:type="dxa"/>
          </w:tcPr>
          <w:p w:rsidR="00083247" w:rsidRPr="00681122" w:rsidRDefault="007C216A" w:rsidP="000609E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45" w:type="dxa"/>
          </w:tcPr>
          <w:p w:rsidR="00083247" w:rsidRPr="00681122" w:rsidRDefault="007C216A" w:rsidP="000609E1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</w:tbl>
    <w:p w:rsidR="000609E1" w:rsidRDefault="000609E1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BCB" w:rsidRDefault="00441BCB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9E1" w:rsidRPr="000609E1" w:rsidRDefault="000609E1" w:rsidP="000609E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9E1">
        <w:rPr>
          <w:rFonts w:ascii="Times New Roman" w:eastAsia="Times New Roman" w:hAnsi="Times New Roman" w:cs="Times New Roman"/>
          <w:sz w:val="24"/>
          <w:szCs w:val="24"/>
        </w:rPr>
        <w:lastRenderedPageBreak/>
        <w:t>Ценов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09E1">
        <w:rPr>
          <w:rFonts w:ascii="Times New Roman" w:eastAsia="Times New Roman" w:hAnsi="Times New Roman" w:cs="Times New Roman"/>
          <w:sz w:val="24"/>
          <w:szCs w:val="24"/>
        </w:rPr>
        <w:t>е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09E1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09E1"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W w:w="951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1701"/>
        <w:gridCol w:w="1701"/>
      </w:tblGrid>
      <w:tr w:rsidR="005C6A5E" w:rsidRPr="005C6A5E" w:rsidTr="000609E1">
        <w:trPr>
          <w:trHeight w:val="493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F21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Наименование СИ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Количество (шт.)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782AA3" w:rsidRDefault="005C6A5E" w:rsidP="00BE118E">
            <w:pPr>
              <w:spacing w:after="0" w:line="235" w:lineRule="auto"/>
              <w:ind w:left="-113" w:right="-102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Цена поверки/за 1 шт.</w:t>
            </w:r>
            <w:r w:rsidRPr="00782AA3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</w:t>
            </w:r>
            <w:r w:rsidR="00BE118E">
              <w:rPr>
                <w:rFonts w:ascii="Times New Roman" w:hAnsi="Times New Roman" w:cs="Times New Roman"/>
                <w:bCs/>
                <w:color w:val="000000"/>
              </w:rPr>
              <w:t>без</w:t>
            </w:r>
            <w:r w:rsidRPr="00782AA3">
              <w:rPr>
                <w:rFonts w:ascii="Times New Roman" w:hAnsi="Times New Roman" w:cs="Times New Roman"/>
                <w:bCs/>
                <w:color w:val="000000"/>
              </w:rPr>
              <w:t xml:space="preserve"> НДС)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782AA3" w:rsidRDefault="005C6A5E" w:rsidP="00BE118E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Итоговая стоимость</w:t>
            </w:r>
            <w:r w:rsidRPr="00782AA3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</w:t>
            </w:r>
            <w:r w:rsidR="00BE118E">
              <w:rPr>
                <w:rFonts w:ascii="Times New Roman" w:hAnsi="Times New Roman" w:cs="Times New Roman"/>
                <w:bCs/>
                <w:color w:val="000000"/>
              </w:rPr>
              <w:t>без</w:t>
            </w:r>
            <w:r w:rsidRPr="00782AA3">
              <w:rPr>
                <w:rFonts w:ascii="Times New Roman" w:hAnsi="Times New Roman" w:cs="Times New Roman"/>
                <w:bCs/>
                <w:color w:val="000000"/>
              </w:rPr>
              <w:t xml:space="preserve"> НДС)</w:t>
            </w:r>
          </w:p>
        </w:tc>
      </w:tr>
      <w:tr w:rsidR="005C6A5E" w:rsidRPr="005C6A5E" w:rsidTr="000609E1">
        <w:trPr>
          <w:trHeight w:val="50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782AA3" w:rsidRDefault="005C6A5E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782AA3" w:rsidRDefault="005C6A5E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82AA3" w:rsidRPr="005C6A5E" w:rsidTr="000609E1">
        <w:trPr>
          <w:trHeight w:val="5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Вольтамперфазоуказатель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 ПАРМА ВАФ,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Ретометр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 М2, ВАФ РС-30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4 880,90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492 970,90</w:t>
            </w:r>
          </w:p>
        </w:tc>
      </w:tr>
      <w:tr w:rsidR="00782AA3" w:rsidRPr="005C6A5E" w:rsidTr="000609E1">
        <w:trPr>
          <w:trHeight w:val="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Клещи-мультиметр цифровые DT 3340, APPA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1 960,20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725 274,00</w:t>
            </w:r>
          </w:p>
        </w:tc>
      </w:tr>
      <w:tr w:rsidR="00782AA3" w:rsidRPr="005C6A5E" w:rsidTr="000609E1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 xml:space="preserve">Термометр инфракрасный Кельвин,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Optris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, «Питон»,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Raytek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 ST PRO 20,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Fluke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>, Testo-810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5 762,99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466 802,19</w:t>
            </w:r>
          </w:p>
        </w:tc>
      </w:tr>
      <w:tr w:rsidR="00782AA3" w:rsidRPr="005C6A5E" w:rsidTr="000609E1">
        <w:trPr>
          <w:trHeight w:val="2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 xml:space="preserve">Термометр цифровой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Checktemp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Testo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ТК-5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1 636,77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183 318,24</w:t>
            </w:r>
          </w:p>
        </w:tc>
      </w:tr>
      <w:tr w:rsidR="00782AA3" w:rsidRPr="005C6A5E" w:rsidTr="000609E1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Термометр стеклянный технический СП-2П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352,84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1 411,36</w:t>
            </w:r>
          </w:p>
        </w:tc>
      </w:tr>
      <w:tr w:rsidR="00782AA3" w:rsidRPr="005C6A5E" w:rsidTr="000609E1">
        <w:trPr>
          <w:trHeight w:val="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 xml:space="preserve">Тепловизор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Flir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Testo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 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8 428,86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33 715,44</w:t>
            </w:r>
          </w:p>
        </w:tc>
      </w:tr>
      <w:tr w:rsidR="00782AA3" w:rsidRPr="005C6A5E" w:rsidTr="000609E1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Секундомер механический СОПР-2А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735,08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236 695,76</w:t>
            </w:r>
          </w:p>
        </w:tc>
      </w:tr>
      <w:tr w:rsidR="00782AA3" w:rsidRPr="005C6A5E" w:rsidTr="000609E1">
        <w:trPr>
          <w:trHeight w:val="43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Секундомер электронный Интеграл С-01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2 342,01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93 680,40</w:t>
            </w:r>
          </w:p>
        </w:tc>
      </w:tr>
      <w:tr w:rsidR="00782AA3" w:rsidRPr="005C6A5E" w:rsidTr="000609E1">
        <w:trPr>
          <w:trHeight w:val="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Измерители артериального давления и частоты пульса электронные, полуавтоматические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529,25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1 587,75</w:t>
            </w:r>
          </w:p>
        </w:tc>
      </w:tr>
      <w:tr w:rsidR="00782AA3" w:rsidRPr="005C6A5E" w:rsidTr="000609E1">
        <w:trPr>
          <w:trHeight w:val="2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Манометр технический ТМ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117,72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3 178,44</w:t>
            </w:r>
          </w:p>
        </w:tc>
      </w:tr>
      <w:tr w:rsidR="00782AA3" w:rsidRPr="005C6A5E" w:rsidTr="000609E1">
        <w:trPr>
          <w:trHeight w:val="3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Штангенциркули до150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235,22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3 293,08</w:t>
            </w:r>
          </w:p>
        </w:tc>
      </w:tr>
      <w:tr w:rsidR="00782AA3" w:rsidRPr="005C6A5E" w:rsidTr="000609E1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Штангенциркули до 250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352,84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1 058,52</w:t>
            </w:r>
          </w:p>
        </w:tc>
      </w:tr>
      <w:tr w:rsidR="00782AA3" w:rsidRPr="005C6A5E" w:rsidTr="000609E1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 xml:space="preserve">Дальномер лазерный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Leika</w:t>
            </w:r>
            <w:proofErr w:type="spellEnd"/>
            <w:r w:rsidRPr="00782AA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82AA3">
              <w:rPr>
                <w:rFonts w:ascii="Times New Roman" w:hAnsi="Times New Roman" w:cs="Times New Roman"/>
                <w:color w:val="000000"/>
              </w:rPr>
              <w:t>Disto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2 047,50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14 332,50</w:t>
            </w:r>
          </w:p>
        </w:tc>
      </w:tr>
      <w:tr w:rsidR="00782AA3" w:rsidRPr="005C6A5E" w:rsidTr="00441BCB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Шумомер VA-SM 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AA3" w:rsidRPr="00782AA3" w:rsidRDefault="00782AA3" w:rsidP="00782AA3">
            <w:pPr>
              <w:shd w:val="clear" w:color="auto" w:fill="FFFFFF"/>
              <w:tabs>
                <w:tab w:val="left" w:pos="0"/>
                <w:tab w:val="left" w:pos="1843"/>
              </w:tabs>
              <w:spacing w:after="0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  <w:r w:rsidRPr="00782AA3">
              <w:rPr>
                <w:rFonts w:ascii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7 233,14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A3" w:rsidRPr="00782AA3" w:rsidRDefault="00782AA3" w:rsidP="00782AA3">
            <w:pPr>
              <w:jc w:val="right"/>
              <w:rPr>
                <w:rFonts w:ascii="Times New Roman" w:hAnsi="Times New Roman" w:cs="Times New Roman"/>
              </w:rPr>
            </w:pPr>
            <w:r w:rsidRPr="00782AA3">
              <w:rPr>
                <w:rFonts w:ascii="Times New Roman" w:hAnsi="Times New Roman" w:cs="Times New Roman"/>
              </w:rPr>
              <w:t>14 466,28</w:t>
            </w:r>
          </w:p>
        </w:tc>
      </w:tr>
      <w:tr w:rsidR="000B4FFF" w:rsidRPr="000B4FFF" w:rsidTr="000609E1">
        <w:trPr>
          <w:trHeight w:val="4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FF" w:rsidRPr="000B4FFF" w:rsidRDefault="000B4FFF" w:rsidP="000B4FFF">
            <w:pPr>
              <w:spacing w:after="0" w:line="235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Cs/>
                <w:color w:val="000000"/>
              </w:rPr>
              <w:t xml:space="preserve">Счетчик электронный эталонный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FF" w:rsidRPr="000B4FFF" w:rsidRDefault="000B4FFF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FF" w:rsidRPr="000B4FFF" w:rsidRDefault="000B4FFF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4FFF">
              <w:rPr>
                <w:rFonts w:ascii="Times New Roman" w:hAnsi="Times New Roman" w:cs="Times New Roman"/>
                <w:color w:val="000000"/>
              </w:rPr>
              <w:t>20 572,30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FFF" w:rsidRPr="000B4FFF" w:rsidRDefault="000B4FFF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Cs/>
                <w:color w:val="000000"/>
              </w:rPr>
              <w:t>20 572,30</w:t>
            </w:r>
          </w:p>
        </w:tc>
      </w:tr>
      <w:tr w:rsidR="005C6A5E" w:rsidRPr="005C6A5E" w:rsidTr="000609E1">
        <w:trPr>
          <w:trHeight w:val="4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0B4FFF" w:rsidRDefault="005C6A5E" w:rsidP="005340A6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/>
                <w:bCs/>
                <w:color w:val="000000"/>
              </w:rPr>
              <w:t>ИТОГО поверка: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5E" w:rsidRPr="000B4FFF" w:rsidRDefault="00782AA3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4FFF">
              <w:rPr>
                <w:rFonts w:ascii="Times New Roman" w:hAnsi="Times New Roman" w:cs="Times New Roman"/>
                <w:b/>
                <w:bCs/>
                <w:color w:val="000000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782AA3" w:rsidRDefault="005C6A5E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82AA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5E" w:rsidRPr="00782AA3" w:rsidRDefault="005C6A5E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5BFF" w:rsidRPr="005C6A5E" w:rsidTr="000609E1">
        <w:trPr>
          <w:trHeight w:val="365"/>
        </w:trPr>
        <w:tc>
          <w:tcPr>
            <w:tcW w:w="78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FF" w:rsidRPr="00782AA3" w:rsidRDefault="007C5BFF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ИТОГО без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82AA3" w:rsidRDefault="00441BCB" w:rsidP="00782AA3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2 292 357,16</w:t>
            </w:r>
          </w:p>
        </w:tc>
      </w:tr>
      <w:tr w:rsidR="007C5BFF" w:rsidRPr="005C6A5E" w:rsidTr="000609E1">
        <w:trPr>
          <w:trHeight w:val="365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FF" w:rsidRPr="00782AA3" w:rsidRDefault="007C5BFF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Cs/>
                <w:color w:val="000000"/>
              </w:rPr>
              <w:t>Сумма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82AA3" w:rsidRDefault="00441BCB" w:rsidP="00782AA3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458 471,44</w:t>
            </w:r>
          </w:p>
        </w:tc>
      </w:tr>
      <w:tr w:rsidR="007C5BFF" w:rsidRPr="005C6A5E" w:rsidTr="000609E1">
        <w:trPr>
          <w:trHeight w:val="400"/>
        </w:trPr>
        <w:tc>
          <w:tcPr>
            <w:tcW w:w="78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FF" w:rsidRPr="00782AA3" w:rsidRDefault="007C5BFF" w:rsidP="00782AA3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2AA3">
              <w:rPr>
                <w:rFonts w:ascii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82AA3" w:rsidRDefault="00441BCB" w:rsidP="00782AA3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2 750 828,60</w:t>
            </w:r>
          </w:p>
        </w:tc>
      </w:tr>
    </w:tbl>
    <w:p w:rsidR="00441BCB" w:rsidRPr="00441BCB" w:rsidRDefault="00441BCB" w:rsidP="00441BC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9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441B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41BC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41BC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41BCB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требованиям, установленным в Документации, в ходе рассмотрения установлено: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846"/>
        <w:gridCol w:w="3118"/>
        <w:gridCol w:w="2835"/>
        <w:gridCol w:w="2835"/>
      </w:tblGrid>
      <w:tr w:rsidR="00441BCB" w:rsidRPr="00441BCB" w:rsidTr="009718DD">
        <w:tc>
          <w:tcPr>
            <w:tcW w:w="846" w:type="dxa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118" w:type="dxa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835" w:type="dxa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1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1B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441BCB" w:rsidRPr="00441BCB" w:rsidTr="009718DD">
        <w:tc>
          <w:tcPr>
            <w:tcW w:w="846" w:type="dxa"/>
            <w:vAlign w:val="center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1B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:rsidR="00441BCB" w:rsidRDefault="00441BCB" w:rsidP="00441BC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  <w:p w:rsidR="00441BCB" w:rsidRPr="00441BCB" w:rsidRDefault="00441BCB" w:rsidP="00441BCB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0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  <w:tc>
          <w:tcPr>
            <w:tcW w:w="2835" w:type="dxa"/>
            <w:vAlign w:val="center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1BCB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:rsidR="00441BCB" w:rsidRPr="00441BCB" w:rsidRDefault="00441BCB" w:rsidP="00441B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1BCB">
              <w:rPr>
                <w:rFonts w:ascii="Times New Roman" w:eastAsia="Times New Roman" w:hAnsi="Times New Roman" w:cs="Times New Roman"/>
              </w:rPr>
              <w:t>Допущен</w:t>
            </w:r>
          </w:p>
        </w:tc>
      </w:tr>
    </w:tbl>
    <w:p w:rsidR="000609E1" w:rsidRPr="000F20A1" w:rsidRDefault="000609E1" w:rsidP="000609E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sz w:val="24"/>
          <w:szCs w:val="24"/>
        </w:rPr>
        <w:t>Итого допущено заявок 1, отклонено 0.</w:t>
      </w:r>
    </w:p>
    <w:p w:rsidR="000609E1" w:rsidRPr="000F20A1" w:rsidRDefault="000609E1" w:rsidP="000609E1">
      <w:pPr>
        <w:spacing w:before="240"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0609E1" w:rsidRPr="000F20A1" w:rsidRDefault="000609E1" w:rsidP="000609E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sz w:val="24"/>
          <w:szCs w:val="24"/>
        </w:rPr>
        <w:t>1. Руководствуясь тем обстоятельством, что поступила только одна заявка, признать процедуру закупки несостоявшейся на основании подпункта 1 пункта 7.2.14.1 Положения о закупке (опубликовано в единой информационной системе zakupki.gov.ru).</w:t>
      </w:r>
    </w:p>
    <w:p w:rsidR="006C57DE" w:rsidRPr="001670A8" w:rsidRDefault="000609E1" w:rsidP="00441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0A1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заявки единственного участника закупки требованиям Документации, заключить договор на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3DD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обеспечению единства измерений </w:t>
      </w:r>
      <w:r w:rsidRPr="00883DD1">
        <w:rPr>
          <w:rFonts w:ascii="Times New Roman" w:eastAsia="Times New Roman" w:hAnsi="Times New Roman" w:cs="Times New Roman"/>
          <w:sz w:val="24"/>
          <w:szCs w:val="24"/>
        </w:rPr>
        <w:lastRenderedPageBreak/>
        <w:t>(поверк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20A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3"/>
          <w:szCs w:val="23"/>
        </w:rPr>
        <w:t>ФБУ «Иркутский ЦСМ»</w:t>
      </w:r>
      <w:r w:rsidRPr="000F2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Цена договора составляет </w:t>
      </w:r>
      <w:r w:rsidR="00441BCB">
        <w:rPr>
          <w:rFonts w:ascii="Times New Roman" w:eastAsia="Times New Roman" w:hAnsi="Times New Roman" w:cs="Times New Roman"/>
          <w:sz w:val="24"/>
          <w:szCs w:val="24"/>
        </w:rPr>
        <w:t>2 750 828,60 руб.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НДС </w:t>
      </w:r>
      <w:r w:rsidR="00441BCB">
        <w:rPr>
          <w:rFonts w:ascii="Times New Roman" w:eastAsia="Times New Roman" w:hAnsi="Times New Roman" w:cs="Times New Roman"/>
          <w:sz w:val="24"/>
          <w:szCs w:val="24"/>
        </w:rPr>
        <w:t>458 471,44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441B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слуги по обеспечению единства измерений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оказывает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в согласованные </w:t>
      </w:r>
      <w:r w:rsidR="00CB4944" w:rsidRPr="001D490C">
        <w:rPr>
          <w:rFonts w:ascii="Times New Roman" w:eastAsia="Times New Roman" w:hAnsi="Times New Roman" w:cs="Times New Roman"/>
          <w:sz w:val="24"/>
          <w:szCs w:val="24"/>
        </w:rPr>
        <w:t>сторонами сроки, но не более 20 (двадцати) рабочих дней</w:t>
      </w:r>
      <w:r w:rsidR="00CB4944">
        <w:rPr>
          <w:rFonts w:ascii="Times New Roman" w:eastAsia="Times New Roman" w:hAnsi="Times New Roman" w:cs="Times New Roman"/>
          <w:sz w:val="24"/>
          <w:szCs w:val="24"/>
        </w:rPr>
        <w:t xml:space="preserve"> с момента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передачи средств измерений на поверку.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Оплата услуг производится Заказчиком на основании счета Исполнителя з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а проведение поверки конкретных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средств измерения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Исполнителя по истечении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) дней после подписания сторонами акта об оказании услуг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57DE" w:rsidRPr="00634E4D">
        <w:rPr>
          <w:rFonts w:ascii="Times New Roman" w:hAnsi="Times New Roman" w:cs="Times New Roman"/>
          <w:sz w:val="24"/>
          <w:szCs w:val="24"/>
        </w:rPr>
        <w:t>Срок действия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>договора: до 31.12.20</w:t>
      </w:r>
      <w:r w:rsidR="00A85CF7">
        <w:rPr>
          <w:rFonts w:ascii="Times New Roman" w:hAnsi="Times New Roman" w:cs="Times New Roman"/>
          <w:sz w:val="24"/>
          <w:szCs w:val="24"/>
        </w:rPr>
        <w:t>2</w:t>
      </w:r>
      <w:r w:rsidR="005C2FB8">
        <w:rPr>
          <w:rFonts w:ascii="Times New Roman" w:hAnsi="Times New Roman" w:cs="Times New Roman"/>
          <w:sz w:val="24"/>
          <w:szCs w:val="24"/>
        </w:rPr>
        <w:t>4</w:t>
      </w:r>
      <w:r w:rsidR="006C57DE" w:rsidRPr="001670A8">
        <w:rPr>
          <w:rFonts w:ascii="Times New Roman" w:hAnsi="Times New Roman" w:cs="Times New Roman"/>
          <w:sz w:val="24"/>
          <w:szCs w:val="24"/>
        </w:rPr>
        <w:t xml:space="preserve">. </w:t>
      </w:r>
      <w:r w:rsidR="001670A8" w:rsidRPr="001670A8">
        <w:rPr>
          <w:rFonts w:ascii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  <w:r w:rsidR="001670A8">
        <w:rPr>
          <w:rFonts w:ascii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  <w:bookmarkStart w:id="4" w:name="_GoBack"/>
      <w:bookmarkEnd w:id="4"/>
    </w:p>
    <w:p w:rsidR="00F93672" w:rsidRDefault="00F93672" w:rsidP="008D3C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41BCB" w:rsidRPr="00441BCB" w:rsidRDefault="00441BCB" w:rsidP="00441BCB">
      <w:pPr>
        <w:spacing w:before="36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C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Секретаря Закупочной комиссии при опубликовании в единой информационной системе </w:t>
      </w:r>
      <w:hyperlink r:id="rId8" w:history="1">
        <w:r w:rsidRPr="00441BC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441BCB">
        <w:rPr>
          <w:rFonts w:ascii="Times New Roman" w:eastAsia="Times New Roman" w:hAnsi="Times New Roman" w:cs="Times New Roman"/>
          <w:sz w:val="24"/>
          <w:szCs w:val="24"/>
        </w:rPr>
        <w:t>, на электронной торговой площадке                   www.b2b-energo.ru.</w:t>
      </w:r>
    </w:p>
    <w:p w:rsidR="008B45C5" w:rsidRPr="00B03B4C" w:rsidRDefault="008B45C5" w:rsidP="0044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0F20A1">
      <w:footerReference w:type="default" r:id="rId9"/>
      <w:pgSz w:w="11906" w:h="16838"/>
      <w:pgMar w:top="851" w:right="709" w:bottom="851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69" w:rsidRDefault="00FE3469" w:rsidP="001D011F">
      <w:pPr>
        <w:spacing w:after="0" w:line="240" w:lineRule="auto"/>
      </w:pPr>
      <w:r>
        <w:separator/>
      </w:r>
    </w:p>
  </w:endnote>
  <w:endnote w:type="continuationSeparator" w:id="0">
    <w:p w:rsidR="00FE3469" w:rsidRDefault="00FE346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69" w:rsidRDefault="00FE3469" w:rsidP="001D011F">
      <w:pPr>
        <w:spacing w:after="0" w:line="240" w:lineRule="auto"/>
      </w:pPr>
      <w:r>
        <w:separator/>
      </w:r>
    </w:p>
  </w:footnote>
  <w:footnote w:type="continuationSeparator" w:id="0">
    <w:p w:rsidR="00FE3469" w:rsidRDefault="00FE346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6DFE"/>
    <w:rsid w:val="00053E62"/>
    <w:rsid w:val="000609E1"/>
    <w:rsid w:val="00065740"/>
    <w:rsid w:val="00080B3C"/>
    <w:rsid w:val="00081D45"/>
    <w:rsid w:val="00083247"/>
    <w:rsid w:val="0008750C"/>
    <w:rsid w:val="00092C56"/>
    <w:rsid w:val="000A03E3"/>
    <w:rsid w:val="000A0D17"/>
    <w:rsid w:val="000B4FFF"/>
    <w:rsid w:val="000C76C6"/>
    <w:rsid w:val="000D1DDD"/>
    <w:rsid w:val="000D27C5"/>
    <w:rsid w:val="000E0DF8"/>
    <w:rsid w:val="000E36CE"/>
    <w:rsid w:val="000F20A1"/>
    <w:rsid w:val="00102B3B"/>
    <w:rsid w:val="00103AC8"/>
    <w:rsid w:val="0010435C"/>
    <w:rsid w:val="00116B66"/>
    <w:rsid w:val="0012072B"/>
    <w:rsid w:val="0012612A"/>
    <w:rsid w:val="00126224"/>
    <w:rsid w:val="0013311C"/>
    <w:rsid w:val="0013559F"/>
    <w:rsid w:val="0015357E"/>
    <w:rsid w:val="00161173"/>
    <w:rsid w:val="00163FF9"/>
    <w:rsid w:val="001670A8"/>
    <w:rsid w:val="00183D24"/>
    <w:rsid w:val="00187E72"/>
    <w:rsid w:val="001A2E24"/>
    <w:rsid w:val="001A64F2"/>
    <w:rsid w:val="001B7FB6"/>
    <w:rsid w:val="001C1AE1"/>
    <w:rsid w:val="001C7927"/>
    <w:rsid w:val="001D011F"/>
    <w:rsid w:val="001E6F38"/>
    <w:rsid w:val="0020404A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A4FBD"/>
    <w:rsid w:val="002B3472"/>
    <w:rsid w:val="002B4EAF"/>
    <w:rsid w:val="002C2469"/>
    <w:rsid w:val="002C420C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41BCB"/>
    <w:rsid w:val="00451365"/>
    <w:rsid w:val="0047253E"/>
    <w:rsid w:val="00484670"/>
    <w:rsid w:val="0049382A"/>
    <w:rsid w:val="004A01E2"/>
    <w:rsid w:val="004A5CFD"/>
    <w:rsid w:val="004C1487"/>
    <w:rsid w:val="004C312B"/>
    <w:rsid w:val="004D1FF6"/>
    <w:rsid w:val="004D2117"/>
    <w:rsid w:val="004D51E0"/>
    <w:rsid w:val="004E1D57"/>
    <w:rsid w:val="004E40B0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59F3"/>
    <w:rsid w:val="00557AD1"/>
    <w:rsid w:val="00580034"/>
    <w:rsid w:val="0058009A"/>
    <w:rsid w:val="00584B75"/>
    <w:rsid w:val="0058718F"/>
    <w:rsid w:val="005A18D4"/>
    <w:rsid w:val="005A1A6D"/>
    <w:rsid w:val="005B3C2E"/>
    <w:rsid w:val="005C0C8E"/>
    <w:rsid w:val="005C2A03"/>
    <w:rsid w:val="005C2FB8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5D88"/>
    <w:rsid w:val="00667448"/>
    <w:rsid w:val="00681122"/>
    <w:rsid w:val="006A144F"/>
    <w:rsid w:val="006C57DE"/>
    <w:rsid w:val="006D64D6"/>
    <w:rsid w:val="006F4CD0"/>
    <w:rsid w:val="00710038"/>
    <w:rsid w:val="007151ED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76266"/>
    <w:rsid w:val="00782AA3"/>
    <w:rsid w:val="00790BC2"/>
    <w:rsid w:val="007B0055"/>
    <w:rsid w:val="007B03F4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342FA"/>
    <w:rsid w:val="008423AC"/>
    <w:rsid w:val="00842CF5"/>
    <w:rsid w:val="00861DAF"/>
    <w:rsid w:val="00871E56"/>
    <w:rsid w:val="00880B6E"/>
    <w:rsid w:val="0088446D"/>
    <w:rsid w:val="00890947"/>
    <w:rsid w:val="008A0875"/>
    <w:rsid w:val="008B10DA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1415C"/>
    <w:rsid w:val="009143C2"/>
    <w:rsid w:val="009306CE"/>
    <w:rsid w:val="00930AAC"/>
    <w:rsid w:val="009322A1"/>
    <w:rsid w:val="00941006"/>
    <w:rsid w:val="00957B86"/>
    <w:rsid w:val="009718DD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26B1"/>
    <w:rsid w:val="00A050E5"/>
    <w:rsid w:val="00A05848"/>
    <w:rsid w:val="00A13008"/>
    <w:rsid w:val="00A25EC1"/>
    <w:rsid w:val="00A339E3"/>
    <w:rsid w:val="00A37C1F"/>
    <w:rsid w:val="00A37D50"/>
    <w:rsid w:val="00A42130"/>
    <w:rsid w:val="00A43637"/>
    <w:rsid w:val="00A64DB1"/>
    <w:rsid w:val="00A653EC"/>
    <w:rsid w:val="00A82623"/>
    <w:rsid w:val="00A85CF7"/>
    <w:rsid w:val="00AA1494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B0F42"/>
    <w:rsid w:val="00BC678E"/>
    <w:rsid w:val="00BD0138"/>
    <w:rsid w:val="00BD46FD"/>
    <w:rsid w:val="00BD670A"/>
    <w:rsid w:val="00BE118E"/>
    <w:rsid w:val="00BE3342"/>
    <w:rsid w:val="00BE63C9"/>
    <w:rsid w:val="00C06BD0"/>
    <w:rsid w:val="00C07672"/>
    <w:rsid w:val="00C218A5"/>
    <w:rsid w:val="00C25551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22163"/>
    <w:rsid w:val="00D359F1"/>
    <w:rsid w:val="00D35C65"/>
    <w:rsid w:val="00D404F9"/>
    <w:rsid w:val="00D7392C"/>
    <w:rsid w:val="00D8226F"/>
    <w:rsid w:val="00D84967"/>
    <w:rsid w:val="00DA2972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E055CC"/>
    <w:rsid w:val="00E1226C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17BE"/>
    <w:rsid w:val="00F23F0E"/>
    <w:rsid w:val="00F24175"/>
    <w:rsid w:val="00F31B66"/>
    <w:rsid w:val="00F35237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469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58887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441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10</cp:revision>
  <cp:lastPrinted>2019-09-04T00:29:00Z</cp:lastPrinted>
  <dcterms:created xsi:type="dcterms:W3CDTF">2024-01-19T01:11:00Z</dcterms:created>
  <dcterms:modified xsi:type="dcterms:W3CDTF">2024-01-19T06:30:00Z</dcterms:modified>
</cp:coreProperties>
</file>